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829" w:rsidRDefault="00055829" w:rsidP="00055829">
      <w:pPr>
        <w:rPr>
          <w:b/>
          <w:sz w:val="32"/>
        </w:rPr>
      </w:pPr>
    </w:p>
    <w:p w:rsidR="00914542" w:rsidRDefault="00914542" w:rsidP="00914542">
      <w:pPr>
        <w:ind w:left="5664"/>
        <w:jc w:val="both"/>
        <w:rPr>
          <w:b/>
          <w:sz w:val="24"/>
        </w:rPr>
      </w:pPr>
    </w:p>
    <w:p w:rsidR="00914542" w:rsidRDefault="00914542" w:rsidP="00914542">
      <w:pPr>
        <w:ind w:left="5664"/>
        <w:jc w:val="both"/>
        <w:rPr>
          <w:b/>
          <w:sz w:val="24"/>
        </w:rPr>
      </w:pPr>
    </w:p>
    <w:p w:rsidR="00E72268" w:rsidRPr="000A1886" w:rsidRDefault="00E72268" w:rsidP="00E72268">
      <w:pPr>
        <w:jc w:val="center"/>
        <w:rPr>
          <w:b/>
          <w:color w:val="000000" w:themeColor="text1"/>
          <w:sz w:val="24"/>
        </w:rPr>
      </w:pPr>
      <w:r w:rsidRPr="000A1886">
        <w:rPr>
          <w:b/>
          <w:color w:val="000000" w:themeColor="text1"/>
          <w:sz w:val="24"/>
        </w:rPr>
        <w:t>KAYSERİ OSB PORTAL SÖZLEŞMESİ</w:t>
      </w:r>
    </w:p>
    <w:p w:rsidR="00E72268" w:rsidRPr="000A1886" w:rsidRDefault="00E72268" w:rsidP="00E72268">
      <w:pPr>
        <w:jc w:val="both"/>
        <w:rPr>
          <w:b/>
          <w:color w:val="000000" w:themeColor="text1"/>
        </w:rPr>
      </w:pPr>
    </w:p>
    <w:p w:rsidR="00E72268" w:rsidRPr="000A1886" w:rsidRDefault="00E72268" w:rsidP="00E72268">
      <w:pPr>
        <w:pStyle w:val="ListeParagraf"/>
        <w:numPr>
          <w:ilvl w:val="0"/>
          <w:numId w:val="1"/>
        </w:numPr>
        <w:ind w:left="426"/>
        <w:jc w:val="both"/>
        <w:rPr>
          <w:b/>
          <w:color w:val="000000" w:themeColor="text1"/>
        </w:rPr>
      </w:pPr>
      <w:r w:rsidRPr="000A1886">
        <w:rPr>
          <w:b/>
          <w:color w:val="000000" w:themeColor="text1"/>
        </w:rPr>
        <w:t>TARAFLAR:</w:t>
      </w:r>
    </w:p>
    <w:p w:rsidR="00E72268" w:rsidRPr="000A1886" w:rsidRDefault="00E72268" w:rsidP="00E72268">
      <w:pPr>
        <w:pStyle w:val="ListeParagraf"/>
        <w:ind w:hanging="11"/>
        <w:jc w:val="both"/>
        <w:rPr>
          <w:b/>
          <w:color w:val="000000" w:themeColor="text1"/>
        </w:rPr>
      </w:pPr>
      <w:r w:rsidRPr="000A1886">
        <w:rPr>
          <w:color w:val="000000" w:themeColor="text1"/>
        </w:rPr>
        <w:t xml:space="preserve">İş Bu sözleşme tarafları Kayseri Organize Sanayi Bölge Müdürlüğü  ile </w:t>
      </w:r>
      <w:proofErr w:type="gramStart"/>
      <w:r w:rsidRPr="000A1886">
        <w:rPr>
          <w:color w:val="000000" w:themeColor="text1"/>
        </w:rPr>
        <w:t>…………………………………………………………………………………………………………………………………..</w:t>
      </w:r>
      <w:proofErr w:type="gramEnd"/>
      <w:r w:rsidRPr="000A1886">
        <w:rPr>
          <w:color w:val="000000" w:themeColor="text1"/>
        </w:rPr>
        <w:t>arasında imzalanmış olup sözleşme de Kayseri Organize Bölge Müdürlüğü KOSB olarak, ilgili kişi, kurum veya kuruluş ise KATILIMCI olarak anılacaktır.  KOSB ve KATILIMCI adres ve irtibat bilgileri sözleşme EK2’deki bilgi formunda yer almaktadır.</w:t>
      </w:r>
    </w:p>
    <w:p w:rsidR="00E72268" w:rsidRPr="000A1886" w:rsidRDefault="00E72268" w:rsidP="00E72268">
      <w:pPr>
        <w:pStyle w:val="ListeParagraf"/>
        <w:jc w:val="both"/>
        <w:rPr>
          <w:b/>
          <w:color w:val="000000" w:themeColor="text1"/>
        </w:rPr>
      </w:pPr>
    </w:p>
    <w:p w:rsidR="00E72268" w:rsidRPr="000A1886" w:rsidRDefault="00E72268" w:rsidP="00E72268">
      <w:pPr>
        <w:pStyle w:val="ListeParagraf"/>
        <w:numPr>
          <w:ilvl w:val="0"/>
          <w:numId w:val="1"/>
        </w:numPr>
        <w:ind w:left="426"/>
        <w:jc w:val="both"/>
        <w:rPr>
          <w:b/>
          <w:color w:val="000000" w:themeColor="text1"/>
        </w:rPr>
      </w:pPr>
      <w:r w:rsidRPr="000A1886">
        <w:rPr>
          <w:b/>
          <w:color w:val="000000" w:themeColor="text1"/>
        </w:rPr>
        <w:t>SÖZLEŞMENİN KONUSU VE KAPSAMI:</w:t>
      </w:r>
    </w:p>
    <w:p w:rsidR="00E72268" w:rsidRPr="000A1886" w:rsidRDefault="00E72268" w:rsidP="00E72268">
      <w:pPr>
        <w:pStyle w:val="ListeParagraf"/>
        <w:ind w:hanging="11"/>
        <w:jc w:val="both"/>
        <w:rPr>
          <w:color w:val="000000" w:themeColor="text1"/>
        </w:rPr>
      </w:pPr>
      <w:proofErr w:type="spellStart"/>
      <w:r w:rsidRPr="000A1886">
        <w:rPr>
          <w:color w:val="000000" w:themeColor="text1"/>
        </w:rPr>
        <w:t>KOSB’un</w:t>
      </w:r>
      <w:proofErr w:type="spellEnd"/>
      <w:r w:rsidRPr="000A1886">
        <w:rPr>
          <w:color w:val="000000" w:themeColor="text1"/>
        </w:rPr>
        <w:t xml:space="preserve"> Organize Sanayi Bölgeleri Yönetmeliğine bağlı olarak verdiği hizmetlerin bir kısmının  </w:t>
      </w:r>
      <w:hyperlink r:id="rId7" w:history="1">
        <w:r w:rsidRPr="000A1886">
          <w:rPr>
            <w:rStyle w:val="Kpr"/>
            <w:color w:val="000000" w:themeColor="text1"/>
          </w:rPr>
          <w:t>https://portal.kayseriosb.org</w:t>
        </w:r>
      </w:hyperlink>
      <w:r w:rsidRPr="000A1886">
        <w:rPr>
          <w:color w:val="000000" w:themeColor="text1"/>
        </w:rPr>
        <w:t xml:space="preserve"> (Portal olarak anılacaktır) web sayfası üzerinden KATILIMCI tarafından belirlenen yetkili kullanıcıların bu hizmetleri elektronik ortamda yürütmesini kapsamaktadır. Ayrıca </w:t>
      </w:r>
      <w:proofErr w:type="spellStart"/>
      <w:r w:rsidRPr="000A1886">
        <w:rPr>
          <w:color w:val="000000" w:themeColor="text1"/>
        </w:rPr>
        <w:t>KATILIMCI’nın</w:t>
      </w:r>
      <w:proofErr w:type="spellEnd"/>
      <w:r w:rsidRPr="000A1886">
        <w:rPr>
          <w:color w:val="000000" w:themeColor="text1"/>
        </w:rPr>
        <w:t xml:space="preserve"> aldığı bazı hizmetlerden oluşacak olan bedellerin ödemesini gerçekleştirdiği sanal pos hizmetlerini de kapsamaktadır.  </w:t>
      </w:r>
    </w:p>
    <w:p w:rsidR="00E72268" w:rsidRPr="000A1886" w:rsidRDefault="00E72268" w:rsidP="00E72268">
      <w:pPr>
        <w:pStyle w:val="ListeParagraf"/>
        <w:jc w:val="both"/>
        <w:rPr>
          <w:color w:val="000000" w:themeColor="text1"/>
        </w:rPr>
      </w:pPr>
    </w:p>
    <w:p w:rsidR="00E72268" w:rsidRPr="000A1886" w:rsidRDefault="00E72268" w:rsidP="00E72268">
      <w:pPr>
        <w:pStyle w:val="ListeParagraf"/>
        <w:numPr>
          <w:ilvl w:val="0"/>
          <w:numId w:val="1"/>
        </w:numPr>
        <w:ind w:left="426"/>
        <w:jc w:val="both"/>
        <w:rPr>
          <w:b/>
          <w:color w:val="000000" w:themeColor="text1"/>
        </w:rPr>
      </w:pPr>
      <w:r w:rsidRPr="000A1886">
        <w:rPr>
          <w:b/>
          <w:color w:val="000000" w:themeColor="text1"/>
        </w:rPr>
        <w:t>GENEL ŞARTLAR:</w:t>
      </w:r>
    </w:p>
    <w:p w:rsidR="00E72268" w:rsidRPr="000A1886" w:rsidRDefault="00E72268" w:rsidP="00E72268">
      <w:pPr>
        <w:pStyle w:val="ListeParagraf"/>
        <w:numPr>
          <w:ilvl w:val="1"/>
          <w:numId w:val="1"/>
        </w:numPr>
        <w:ind w:left="851"/>
        <w:jc w:val="both"/>
        <w:rPr>
          <w:color w:val="000000" w:themeColor="text1"/>
        </w:rPr>
      </w:pPr>
      <w:r w:rsidRPr="000A1886">
        <w:rPr>
          <w:color w:val="000000" w:themeColor="text1"/>
        </w:rPr>
        <w:t xml:space="preserve">KOSB, </w:t>
      </w:r>
      <w:proofErr w:type="spellStart"/>
      <w:r w:rsidRPr="000A1886">
        <w:rPr>
          <w:color w:val="000000" w:themeColor="text1"/>
        </w:rPr>
        <w:t>KATILIMCI’nın</w:t>
      </w:r>
      <w:proofErr w:type="spellEnd"/>
      <w:r w:rsidRPr="000A1886">
        <w:rPr>
          <w:color w:val="000000" w:themeColor="text1"/>
        </w:rPr>
        <w:t xml:space="preserve"> sözleşme EK2’de beyan ettiği bilgiler ile Portal da kullanıcı hesabı oluşturarak, kullanıcı şifresini yine EK2’de beyan edilen telefon numarasına SMS ile gönderir.</w:t>
      </w:r>
    </w:p>
    <w:p w:rsidR="00E72268" w:rsidRPr="000A1886" w:rsidRDefault="00E72268" w:rsidP="00E72268">
      <w:pPr>
        <w:pStyle w:val="ListeParagraf"/>
        <w:ind w:left="851"/>
        <w:jc w:val="both"/>
        <w:rPr>
          <w:color w:val="000000" w:themeColor="text1"/>
        </w:rPr>
      </w:pPr>
    </w:p>
    <w:p w:rsidR="00E72268" w:rsidRPr="000A1886" w:rsidRDefault="00E72268" w:rsidP="00E72268">
      <w:pPr>
        <w:pStyle w:val="ListeParagraf"/>
        <w:numPr>
          <w:ilvl w:val="1"/>
          <w:numId w:val="1"/>
        </w:numPr>
        <w:ind w:left="851"/>
        <w:jc w:val="both"/>
        <w:rPr>
          <w:color w:val="000000" w:themeColor="text1"/>
        </w:rPr>
      </w:pPr>
      <w:r w:rsidRPr="000A1886">
        <w:rPr>
          <w:color w:val="000000" w:themeColor="text1"/>
        </w:rPr>
        <w:t>KATILIMCI portal üzerinde giriş yapmak için sözleşme EK2’de beyan edeceği telefon ile kendisine verilen şifreyi üçüncü şahıslar veya kuruluşlarla paylaşmayacağını kabul ve taahhüt eder.</w:t>
      </w:r>
    </w:p>
    <w:p w:rsidR="00E72268" w:rsidRPr="000A1886" w:rsidRDefault="00E72268" w:rsidP="00E72268">
      <w:pPr>
        <w:pStyle w:val="ListeParagraf"/>
        <w:ind w:left="851"/>
        <w:rPr>
          <w:color w:val="000000" w:themeColor="text1"/>
        </w:rPr>
      </w:pPr>
    </w:p>
    <w:p w:rsidR="00E72268" w:rsidRPr="000A1886" w:rsidRDefault="00E72268" w:rsidP="00E72268">
      <w:pPr>
        <w:pStyle w:val="ListeParagraf"/>
        <w:numPr>
          <w:ilvl w:val="1"/>
          <w:numId w:val="1"/>
        </w:numPr>
        <w:ind w:left="851"/>
        <w:jc w:val="both"/>
        <w:rPr>
          <w:color w:val="000000" w:themeColor="text1"/>
        </w:rPr>
      </w:pPr>
      <w:proofErr w:type="spellStart"/>
      <w:r w:rsidRPr="000A1886">
        <w:rPr>
          <w:color w:val="000000" w:themeColor="text1"/>
        </w:rPr>
        <w:t>KATILIMCI’nın</w:t>
      </w:r>
      <w:proofErr w:type="spellEnd"/>
      <w:r w:rsidRPr="000A1886">
        <w:rPr>
          <w:color w:val="000000" w:themeColor="text1"/>
        </w:rPr>
        <w:t xml:space="preserve"> imza </w:t>
      </w:r>
      <w:proofErr w:type="spellStart"/>
      <w:r w:rsidRPr="000A1886">
        <w:rPr>
          <w:color w:val="000000" w:themeColor="text1"/>
        </w:rPr>
        <w:t>sirküsü</w:t>
      </w:r>
      <w:proofErr w:type="spellEnd"/>
      <w:r w:rsidRPr="000A1886">
        <w:rPr>
          <w:color w:val="000000" w:themeColor="text1"/>
        </w:rPr>
        <w:t xml:space="preserve"> ve yetki belgesi ile beyan ettiği temsile yetkili parsel ve firmadaki yetkileri sona erdiği takdirde portal sistemindeki kullanıcısının sonlandırılması ile ilgili gerekli bilginin yazılı olarak verilmesi ile ilgili sorumludur. Sorumluluğun sonlandırılması beyanı öncesinde Portal sisteminde yapılacak işlemlerden dolayı oluşacak olan her türlü zarar ve yasal tazminatlardan sorumludur. </w:t>
      </w:r>
    </w:p>
    <w:p w:rsidR="00E72268" w:rsidRPr="000A1886" w:rsidRDefault="00E72268" w:rsidP="00E72268">
      <w:pPr>
        <w:pStyle w:val="ListeParagraf"/>
        <w:ind w:left="851"/>
        <w:rPr>
          <w:color w:val="000000" w:themeColor="text1"/>
        </w:rPr>
      </w:pPr>
    </w:p>
    <w:p w:rsidR="00E72268" w:rsidRPr="000A1886" w:rsidRDefault="00E72268" w:rsidP="00E72268">
      <w:pPr>
        <w:pStyle w:val="ListeParagraf"/>
        <w:numPr>
          <w:ilvl w:val="1"/>
          <w:numId w:val="1"/>
        </w:numPr>
        <w:ind w:left="851"/>
        <w:jc w:val="both"/>
        <w:rPr>
          <w:color w:val="000000" w:themeColor="text1"/>
        </w:rPr>
      </w:pPr>
      <w:r w:rsidRPr="000A1886">
        <w:rPr>
          <w:color w:val="000000" w:themeColor="text1"/>
        </w:rPr>
        <w:t xml:space="preserve">KATILIMCI, kendi kullanıcı hesabı altında oluşturacağı kullanıcıların, Portal üzerindeki işlemlerinden müteselsilin sorumludur.     </w:t>
      </w:r>
    </w:p>
    <w:p w:rsidR="00E72268" w:rsidRPr="000A1886" w:rsidRDefault="00E72268" w:rsidP="00E72268">
      <w:pPr>
        <w:pStyle w:val="ListeParagraf"/>
        <w:ind w:left="851"/>
        <w:rPr>
          <w:color w:val="000000" w:themeColor="text1"/>
        </w:rPr>
      </w:pPr>
    </w:p>
    <w:p w:rsidR="00E72268" w:rsidRPr="000A1886" w:rsidRDefault="00E72268" w:rsidP="00E72268">
      <w:pPr>
        <w:pStyle w:val="ListeParagraf"/>
        <w:numPr>
          <w:ilvl w:val="1"/>
          <w:numId w:val="1"/>
        </w:numPr>
        <w:ind w:left="851"/>
        <w:jc w:val="both"/>
        <w:rPr>
          <w:color w:val="000000" w:themeColor="text1"/>
        </w:rPr>
      </w:pPr>
      <w:r w:rsidRPr="000A1886">
        <w:rPr>
          <w:color w:val="000000" w:themeColor="text1"/>
        </w:rPr>
        <w:t xml:space="preserve">KATILIMCI Portal sistemi üzerinde yüklediği evrakların tahrif edilmemiş asıllarının olduğunu, bu evraklar üzerindeki imzaların kendisine ait olduğunu beyan ve taahhüt eder. </w:t>
      </w:r>
    </w:p>
    <w:p w:rsidR="00E72268" w:rsidRPr="000A1886" w:rsidRDefault="00E72268" w:rsidP="00E72268">
      <w:pPr>
        <w:pStyle w:val="ListeParagraf"/>
        <w:ind w:left="851"/>
        <w:rPr>
          <w:color w:val="000000" w:themeColor="text1"/>
        </w:rPr>
      </w:pPr>
    </w:p>
    <w:p w:rsidR="00E72268" w:rsidRPr="000A1886" w:rsidRDefault="00E72268" w:rsidP="00E72268">
      <w:pPr>
        <w:pStyle w:val="ListeParagraf"/>
        <w:numPr>
          <w:ilvl w:val="1"/>
          <w:numId w:val="1"/>
        </w:numPr>
        <w:ind w:left="851"/>
        <w:jc w:val="both"/>
        <w:rPr>
          <w:b/>
          <w:color w:val="000000" w:themeColor="text1"/>
        </w:rPr>
      </w:pPr>
      <w:r w:rsidRPr="000A1886">
        <w:rPr>
          <w:color w:val="000000" w:themeColor="text1"/>
        </w:rPr>
        <w:t>KATILIMCI Portal sistemi için EK2’de belirtilen formdaki bilgileri yine EK3’te tebliğ edilen K.V.K.K. aydınlatma metni kapsamında açık rıza onayı verdiğini kabul ve taahhüt eder.</w:t>
      </w:r>
    </w:p>
    <w:p w:rsidR="00E72268" w:rsidRPr="000A1886" w:rsidRDefault="00E72268" w:rsidP="00E72268">
      <w:pPr>
        <w:pStyle w:val="ListeParagraf"/>
        <w:ind w:left="851"/>
        <w:rPr>
          <w:color w:val="000000" w:themeColor="text1"/>
        </w:rPr>
      </w:pPr>
    </w:p>
    <w:p w:rsidR="00E72268" w:rsidRPr="000A1886" w:rsidRDefault="00E72268" w:rsidP="00E72268">
      <w:pPr>
        <w:pStyle w:val="ListeParagraf"/>
        <w:numPr>
          <w:ilvl w:val="1"/>
          <w:numId w:val="1"/>
        </w:numPr>
        <w:ind w:left="851"/>
        <w:jc w:val="both"/>
        <w:rPr>
          <w:b/>
          <w:color w:val="000000" w:themeColor="text1"/>
        </w:rPr>
      </w:pPr>
      <w:proofErr w:type="spellStart"/>
      <w:r w:rsidRPr="000A1886">
        <w:rPr>
          <w:color w:val="000000" w:themeColor="text1"/>
        </w:rPr>
        <w:lastRenderedPageBreak/>
        <w:t>KATILIMCI’nın</w:t>
      </w:r>
      <w:proofErr w:type="spellEnd"/>
      <w:r w:rsidRPr="000A1886">
        <w:rPr>
          <w:color w:val="000000" w:themeColor="text1"/>
        </w:rPr>
        <w:t xml:space="preserve"> yazılı beyanı ile açık rıza onayını geri çekmesi durumunda veya kullanımı sonlandırma talebi sonrasında kendisi ve bağlı olan kullanıcılar Portal sistemine giriş yapamayacak olup oluşabilecek her türlü zarar ve yasal yükümlülüklerden kendisinin sorumlu olduğunu taahhüt eder. </w:t>
      </w:r>
    </w:p>
    <w:p w:rsidR="00E72268" w:rsidRPr="000A1886" w:rsidRDefault="00E72268" w:rsidP="00E72268">
      <w:pPr>
        <w:pStyle w:val="ListeParagraf"/>
        <w:jc w:val="both"/>
        <w:rPr>
          <w:b/>
          <w:color w:val="000000" w:themeColor="text1"/>
        </w:rPr>
      </w:pPr>
    </w:p>
    <w:p w:rsidR="00E72268" w:rsidRPr="000A1886" w:rsidRDefault="00E72268" w:rsidP="00E72268">
      <w:pPr>
        <w:pStyle w:val="ListeParagraf"/>
        <w:numPr>
          <w:ilvl w:val="0"/>
          <w:numId w:val="1"/>
        </w:numPr>
        <w:ind w:left="426"/>
        <w:jc w:val="both"/>
        <w:rPr>
          <w:b/>
          <w:color w:val="000000" w:themeColor="text1"/>
        </w:rPr>
      </w:pPr>
      <w:r w:rsidRPr="000A1886">
        <w:rPr>
          <w:b/>
          <w:color w:val="000000" w:themeColor="text1"/>
        </w:rPr>
        <w:t>TARAFLARIN HAK VE YÜKÜMLÜLÜKLERİ:</w:t>
      </w:r>
    </w:p>
    <w:p w:rsidR="00E72268" w:rsidRPr="000A1886" w:rsidRDefault="00E72268" w:rsidP="00E72268">
      <w:pPr>
        <w:pStyle w:val="ListeParagraf"/>
        <w:numPr>
          <w:ilvl w:val="1"/>
          <w:numId w:val="1"/>
        </w:numPr>
        <w:ind w:left="851"/>
        <w:jc w:val="both"/>
        <w:rPr>
          <w:b/>
          <w:color w:val="000000" w:themeColor="text1"/>
        </w:rPr>
      </w:pPr>
      <w:r w:rsidRPr="000A1886">
        <w:rPr>
          <w:color w:val="000000" w:themeColor="text1"/>
        </w:rPr>
        <w:t xml:space="preserve">KOSB, Portal sisteminde yapacağı yeniliklerden ve yeni hizmetlerden </w:t>
      </w:r>
      <w:proofErr w:type="spellStart"/>
      <w:r w:rsidRPr="000A1886">
        <w:rPr>
          <w:color w:val="000000" w:themeColor="text1"/>
        </w:rPr>
        <w:t>KATILIMCI’nın</w:t>
      </w:r>
      <w:proofErr w:type="spellEnd"/>
      <w:r w:rsidRPr="000A1886">
        <w:rPr>
          <w:color w:val="000000" w:themeColor="text1"/>
        </w:rPr>
        <w:t xml:space="preserve"> faydalanması için herhangi bir kısıtlama yapamaz.</w:t>
      </w:r>
    </w:p>
    <w:p w:rsidR="00E72268" w:rsidRPr="000A1886" w:rsidRDefault="00E72268" w:rsidP="00E72268">
      <w:pPr>
        <w:pStyle w:val="ListeParagraf"/>
        <w:ind w:left="851"/>
        <w:jc w:val="both"/>
        <w:rPr>
          <w:b/>
          <w:color w:val="000000" w:themeColor="text1"/>
        </w:rPr>
      </w:pPr>
    </w:p>
    <w:p w:rsidR="00E72268" w:rsidRPr="000A1886" w:rsidRDefault="00E72268" w:rsidP="00E72268">
      <w:pPr>
        <w:pStyle w:val="ListeParagraf"/>
        <w:numPr>
          <w:ilvl w:val="1"/>
          <w:numId w:val="1"/>
        </w:numPr>
        <w:ind w:left="851"/>
        <w:jc w:val="both"/>
        <w:rPr>
          <w:b/>
          <w:color w:val="000000" w:themeColor="text1"/>
        </w:rPr>
      </w:pPr>
      <w:r w:rsidRPr="000A1886">
        <w:rPr>
          <w:color w:val="000000" w:themeColor="text1"/>
        </w:rPr>
        <w:t xml:space="preserve">KOSB, Portal sisteminin, arıza ve bakım gibi nedenler ile hizmetin kısmi veya tamamının durdurulacağı durumlarda </w:t>
      </w:r>
      <w:proofErr w:type="spellStart"/>
      <w:r w:rsidRPr="000A1886">
        <w:rPr>
          <w:color w:val="000000" w:themeColor="text1"/>
        </w:rPr>
        <w:t>KATILIMCI’yı</w:t>
      </w:r>
      <w:proofErr w:type="spellEnd"/>
      <w:r w:rsidRPr="000A1886">
        <w:rPr>
          <w:color w:val="000000" w:themeColor="text1"/>
        </w:rPr>
        <w:t xml:space="preserve"> SMS ile önceden bilgilendirmekle yükümlüdür. Sistemlerin durması nedeni ile oluşabilecek gecikmelerden KOSB sorumlu tutulamaz.</w:t>
      </w:r>
    </w:p>
    <w:p w:rsidR="00E72268" w:rsidRPr="000A1886" w:rsidRDefault="00E72268" w:rsidP="00E72268">
      <w:pPr>
        <w:pStyle w:val="ListeParagraf"/>
        <w:ind w:left="851"/>
        <w:jc w:val="both"/>
        <w:rPr>
          <w:b/>
          <w:color w:val="000000" w:themeColor="text1"/>
        </w:rPr>
      </w:pPr>
    </w:p>
    <w:p w:rsidR="00E72268" w:rsidRPr="000A1886" w:rsidRDefault="00E72268" w:rsidP="00E72268">
      <w:pPr>
        <w:pStyle w:val="ListeParagraf"/>
        <w:numPr>
          <w:ilvl w:val="1"/>
          <w:numId w:val="1"/>
        </w:numPr>
        <w:ind w:left="851"/>
        <w:jc w:val="both"/>
        <w:rPr>
          <w:b/>
          <w:color w:val="000000" w:themeColor="text1"/>
        </w:rPr>
      </w:pPr>
      <w:r w:rsidRPr="000A1886">
        <w:rPr>
          <w:color w:val="000000" w:themeColor="text1"/>
        </w:rPr>
        <w:t xml:space="preserve">KOSB, EK2’de belirtilen KATILIMCI Bilgi Formu dışında Portal sisteminde </w:t>
      </w:r>
      <w:proofErr w:type="spellStart"/>
      <w:r w:rsidRPr="000A1886">
        <w:rPr>
          <w:color w:val="000000" w:themeColor="text1"/>
        </w:rPr>
        <w:t>KATILIMCI’ya</w:t>
      </w:r>
      <w:proofErr w:type="spellEnd"/>
      <w:r w:rsidRPr="000A1886">
        <w:rPr>
          <w:color w:val="000000" w:themeColor="text1"/>
        </w:rPr>
        <w:t xml:space="preserve"> ait hiçbir kişisel bilgiyi talep edemez ve sisteme kaydedemez. </w:t>
      </w:r>
    </w:p>
    <w:p w:rsidR="00E72268" w:rsidRPr="000A1886" w:rsidRDefault="00E72268" w:rsidP="00E72268">
      <w:pPr>
        <w:pStyle w:val="ListeParagraf"/>
        <w:ind w:left="851"/>
        <w:jc w:val="both"/>
        <w:rPr>
          <w:b/>
          <w:color w:val="000000" w:themeColor="text1"/>
        </w:rPr>
      </w:pPr>
    </w:p>
    <w:p w:rsidR="00E72268" w:rsidRPr="000A1886" w:rsidRDefault="00E72268" w:rsidP="00E72268">
      <w:pPr>
        <w:pStyle w:val="ListeParagraf"/>
        <w:numPr>
          <w:ilvl w:val="1"/>
          <w:numId w:val="1"/>
        </w:numPr>
        <w:ind w:left="851"/>
        <w:jc w:val="both"/>
        <w:rPr>
          <w:color w:val="000000" w:themeColor="text1"/>
        </w:rPr>
      </w:pPr>
      <w:r w:rsidRPr="000A1886">
        <w:rPr>
          <w:color w:val="000000" w:themeColor="text1"/>
        </w:rPr>
        <w:t xml:space="preserve">KATILIMCI Portal sistemindeki bildirimlerden faydalanmak için, bilgilerini güncel tutması gerekmektedir.  </w:t>
      </w:r>
    </w:p>
    <w:p w:rsidR="00E72268" w:rsidRPr="000A1886" w:rsidRDefault="00E72268" w:rsidP="00E72268">
      <w:pPr>
        <w:pStyle w:val="ListeParagraf"/>
        <w:ind w:left="851"/>
        <w:jc w:val="both"/>
        <w:rPr>
          <w:color w:val="000000" w:themeColor="text1"/>
        </w:rPr>
      </w:pPr>
    </w:p>
    <w:p w:rsidR="00E72268" w:rsidRPr="000A1886" w:rsidRDefault="00E72268" w:rsidP="00E72268">
      <w:pPr>
        <w:pStyle w:val="ListeParagraf"/>
        <w:numPr>
          <w:ilvl w:val="1"/>
          <w:numId w:val="1"/>
        </w:numPr>
        <w:ind w:left="851"/>
        <w:jc w:val="both"/>
        <w:rPr>
          <w:b/>
          <w:color w:val="000000" w:themeColor="text1"/>
        </w:rPr>
      </w:pPr>
      <w:proofErr w:type="spellStart"/>
      <w:r w:rsidRPr="000A1886">
        <w:rPr>
          <w:color w:val="000000" w:themeColor="text1"/>
        </w:rPr>
        <w:t>KATILIMCI’nın</w:t>
      </w:r>
      <w:proofErr w:type="spellEnd"/>
      <w:r w:rsidRPr="000A1886">
        <w:rPr>
          <w:color w:val="000000" w:themeColor="text1"/>
        </w:rPr>
        <w:t xml:space="preserve"> Portal üzerinde oluşturduğu ve yetkilendirdiği kullanıcı hesaplarının, ilgili kullanıcının işten ayrılması ya da yetkisinin değişmesi halinde, KATILIMCI tarafından kaldırılması ya da yetkilerinin sonlandırılması gerekmektedir. Bu tür kullanıcıların PORTAL üzerinde yaptığı işlemlerden KOSB sorumlu tutulamaz.</w:t>
      </w:r>
    </w:p>
    <w:p w:rsidR="00E72268" w:rsidRPr="000A1886" w:rsidRDefault="00E72268" w:rsidP="00E72268">
      <w:pPr>
        <w:pStyle w:val="ListeParagraf"/>
        <w:ind w:left="851"/>
        <w:jc w:val="both"/>
        <w:rPr>
          <w:b/>
          <w:color w:val="000000" w:themeColor="text1"/>
        </w:rPr>
      </w:pPr>
    </w:p>
    <w:p w:rsidR="00E72268" w:rsidRPr="000A1886" w:rsidRDefault="00E72268" w:rsidP="00E72268">
      <w:pPr>
        <w:pStyle w:val="ListeParagraf"/>
        <w:numPr>
          <w:ilvl w:val="0"/>
          <w:numId w:val="1"/>
        </w:numPr>
        <w:spacing w:after="0"/>
        <w:ind w:left="425" w:hanging="357"/>
        <w:jc w:val="both"/>
        <w:rPr>
          <w:b/>
          <w:color w:val="000000" w:themeColor="text1"/>
        </w:rPr>
      </w:pPr>
      <w:r w:rsidRPr="000A1886">
        <w:rPr>
          <w:b/>
          <w:color w:val="000000" w:themeColor="text1"/>
        </w:rPr>
        <w:t>SÜRE:</w:t>
      </w:r>
    </w:p>
    <w:p w:rsidR="00E72268" w:rsidRPr="000A1886" w:rsidRDefault="00E72268" w:rsidP="00E72268">
      <w:pPr>
        <w:pStyle w:val="ListeParagraf"/>
        <w:ind w:left="426"/>
        <w:jc w:val="both"/>
        <w:rPr>
          <w:color w:val="000000" w:themeColor="text1"/>
        </w:rPr>
      </w:pPr>
      <w:r w:rsidRPr="000A1886">
        <w:rPr>
          <w:color w:val="000000" w:themeColor="text1"/>
        </w:rPr>
        <w:t xml:space="preserve">İş bu sözleşme </w:t>
      </w:r>
      <w:proofErr w:type="spellStart"/>
      <w:r w:rsidRPr="000A1886">
        <w:rPr>
          <w:color w:val="000000" w:themeColor="text1"/>
        </w:rPr>
        <w:t>KATILIMCI’nın</w:t>
      </w:r>
      <w:proofErr w:type="spellEnd"/>
      <w:r w:rsidRPr="000A1886">
        <w:rPr>
          <w:color w:val="000000" w:themeColor="text1"/>
        </w:rPr>
        <w:t xml:space="preserve"> beyan ettiği parsel veya firmada yetkisi bulunduğu müddetçe geçerlidir. </w:t>
      </w:r>
    </w:p>
    <w:p w:rsidR="00E72268" w:rsidRPr="000A1886" w:rsidRDefault="00E72268" w:rsidP="00E72268">
      <w:pPr>
        <w:pStyle w:val="ListeParagraf"/>
        <w:ind w:left="426"/>
        <w:jc w:val="both"/>
        <w:rPr>
          <w:color w:val="000000" w:themeColor="text1"/>
        </w:rPr>
      </w:pPr>
    </w:p>
    <w:p w:rsidR="00E72268" w:rsidRPr="000A1886" w:rsidRDefault="00E72268" w:rsidP="00E72268">
      <w:pPr>
        <w:pStyle w:val="ListeParagraf"/>
        <w:numPr>
          <w:ilvl w:val="0"/>
          <w:numId w:val="1"/>
        </w:numPr>
        <w:ind w:left="426"/>
        <w:jc w:val="both"/>
        <w:rPr>
          <w:b/>
          <w:color w:val="000000" w:themeColor="text1"/>
        </w:rPr>
      </w:pPr>
      <w:r w:rsidRPr="000A1886">
        <w:rPr>
          <w:b/>
          <w:color w:val="000000" w:themeColor="text1"/>
        </w:rPr>
        <w:t>GİZLİLİK:</w:t>
      </w:r>
    </w:p>
    <w:p w:rsidR="00E72268" w:rsidRPr="000A1886" w:rsidRDefault="00E72268" w:rsidP="00E72268">
      <w:pPr>
        <w:pStyle w:val="ListeParagraf"/>
        <w:numPr>
          <w:ilvl w:val="1"/>
          <w:numId w:val="1"/>
        </w:numPr>
        <w:ind w:left="851"/>
        <w:jc w:val="both"/>
        <w:rPr>
          <w:b/>
          <w:color w:val="000000" w:themeColor="text1"/>
        </w:rPr>
      </w:pPr>
      <w:r w:rsidRPr="000A1886">
        <w:rPr>
          <w:color w:val="000000" w:themeColor="text1"/>
        </w:rPr>
        <w:t>KOSB bu sözleşme kapsamında alınan bilgilerin gizliliğini ihlal etmeyeceğini bu bilgileri üçüncü kişi ve kuruluşlar ile paylaşmayacağını kabul ve taahhüt eder.</w:t>
      </w:r>
    </w:p>
    <w:p w:rsidR="00E72268" w:rsidRPr="000A1886" w:rsidRDefault="00E72268" w:rsidP="00E72268">
      <w:pPr>
        <w:pStyle w:val="ListeParagraf"/>
        <w:numPr>
          <w:ilvl w:val="1"/>
          <w:numId w:val="1"/>
        </w:numPr>
        <w:ind w:left="851"/>
        <w:jc w:val="both"/>
        <w:rPr>
          <w:b/>
          <w:color w:val="000000" w:themeColor="text1"/>
        </w:rPr>
      </w:pPr>
      <w:r w:rsidRPr="000A1886">
        <w:rPr>
          <w:color w:val="000000" w:themeColor="text1"/>
        </w:rPr>
        <w:t xml:space="preserve">KATILIMCI Portal sistemi kullanım ve erişim bilgilerini üçüncü kişi ve kurumlarla paylaşmayacağını kabul ve taahhüt eder.  </w:t>
      </w:r>
    </w:p>
    <w:p w:rsidR="00E72268" w:rsidRPr="000A1886" w:rsidRDefault="00E72268" w:rsidP="00E72268">
      <w:pPr>
        <w:pStyle w:val="ListeParagraf"/>
        <w:ind w:left="1044"/>
        <w:jc w:val="both"/>
        <w:rPr>
          <w:b/>
          <w:color w:val="000000" w:themeColor="text1"/>
        </w:rPr>
      </w:pPr>
    </w:p>
    <w:p w:rsidR="00E72268" w:rsidRPr="000A1886" w:rsidRDefault="00E72268" w:rsidP="00E72268">
      <w:pPr>
        <w:pStyle w:val="ListeParagraf"/>
        <w:numPr>
          <w:ilvl w:val="0"/>
          <w:numId w:val="1"/>
        </w:numPr>
        <w:ind w:left="426"/>
        <w:jc w:val="both"/>
        <w:rPr>
          <w:b/>
          <w:color w:val="000000" w:themeColor="text1"/>
        </w:rPr>
      </w:pPr>
      <w:r w:rsidRPr="000A1886">
        <w:rPr>
          <w:b/>
          <w:color w:val="000000" w:themeColor="text1"/>
        </w:rPr>
        <w:t>DEĞİŞİKLİK:</w:t>
      </w:r>
    </w:p>
    <w:p w:rsidR="00E72268" w:rsidRPr="000A1886" w:rsidRDefault="00E72268" w:rsidP="00E72268">
      <w:pPr>
        <w:pStyle w:val="ListeParagraf"/>
        <w:ind w:left="426"/>
        <w:jc w:val="both"/>
        <w:rPr>
          <w:color w:val="000000" w:themeColor="text1"/>
        </w:rPr>
      </w:pPr>
      <w:r w:rsidRPr="000A1886">
        <w:rPr>
          <w:color w:val="000000" w:themeColor="text1"/>
        </w:rPr>
        <w:t xml:space="preserve">İş bu sözleşmedeki herhangi bir değişiklik her iki tarafın da yazılı ve imzalı onayı olmadan bağlayıcı olmaz. OSB Yönetimleri Yönetmeliği veya mevzuat değişiklikleri her iki tarafı da bağlayıcıdır.   </w:t>
      </w:r>
    </w:p>
    <w:p w:rsidR="00E72268" w:rsidRPr="000A1886" w:rsidRDefault="00E72268" w:rsidP="00E72268">
      <w:pPr>
        <w:pStyle w:val="ListeParagraf"/>
        <w:ind w:left="426"/>
        <w:jc w:val="both"/>
        <w:rPr>
          <w:color w:val="000000" w:themeColor="text1"/>
        </w:rPr>
      </w:pPr>
    </w:p>
    <w:p w:rsidR="00E72268" w:rsidRPr="000A1886" w:rsidRDefault="00E72268" w:rsidP="00E72268">
      <w:pPr>
        <w:pStyle w:val="ListeParagraf"/>
        <w:numPr>
          <w:ilvl w:val="0"/>
          <w:numId w:val="1"/>
        </w:numPr>
        <w:ind w:left="426"/>
        <w:jc w:val="both"/>
        <w:rPr>
          <w:b/>
          <w:color w:val="000000" w:themeColor="text1"/>
        </w:rPr>
      </w:pPr>
      <w:r w:rsidRPr="000A1886">
        <w:rPr>
          <w:b/>
          <w:color w:val="000000" w:themeColor="text1"/>
        </w:rPr>
        <w:t>İHTİLAFLAR:</w:t>
      </w:r>
    </w:p>
    <w:p w:rsidR="00E72268" w:rsidRPr="000A1886" w:rsidRDefault="00E72268" w:rsidP="00E72268">
      <w:pPr>
        <w:pStyle w:val="ListeParagraf"/>
        <w:ind w:left="426"/>
        <w:jc w:val="both"/>
        <w:rPr>
          <w:color w:val="000000" w:themeColor="text1"/>
        </w:rPr>
      </w:pPr>
      <w:r w:rsidRPr="000A1886">
        <w:rPr>
          <w:color w:val="000000" w:themeColor="text1"/>
        </w:rPr>
        <w:t xml:space="preserve">İş bu sözleşme imzalandıktan sonra doğacak olan her türlü ihtilaf halinde Kayseri Merkez Mahkemeleri ve icra daireleri yetkilidir. </w:t>
      </w:r>
    </w:p>
    <w:p w:rsidR="00E72268" w:rsidRDefault="00E72268" w:rsidP="00E72268">
      <w:pPr>
        <w:pStyle w:val="ListeParagraf"/>
        <w:ind w:left="426"/>
        <w:jc w:val="both"/>
        <w:rPr>
          <w:color w:val="000000" w:themeColor="text1"/>
        </w:rPr>
      </w:pPr>
    </w:p>
    <w:p w:rsidR="00AE074B" w:rsidRPr="000A1886" w:rsidRDefault="00AE074B" w:rsidP="00E72268">
      <w:pPr>
        <w:pStyle w:val="ListeParagraf"/>
        <w:ind w:left="426"/>
        <w:jc w:val="both"/>
        <w:rPr>
          <w:color w:val="000000" w:themeColor="text1"/>
        </w:rPr>
      </w:pPr>
    </w:p>
    <w:p w:rsidR="00E72268" w:rsidRPr="000A1886" w:rsidRDefault="00E72268" w:rsidP="00E72268">
      <w:pPr>
        <w:pStyle w:val="ListeParagraf"/>
        <w:numPr>
          <w:ilvl w:val="0"/>
          <w:numId w:val="1"/>
        </w:numPr>
        <w:ind w:left="426"/>
        <w:jc w:val="both"/>
        <w:rPr>
          <w:b/>
          <w:color w:val="000000" w:themeColor="text1"/>
        </w:rPr>
      </w:pPr>
      <w:r w:rsidRPr="000A1886">
        <w:rPr>
          <w:b/>
          <w:color w:val="000000" w:themeColor="text1"/>
        </w:rPr>
        <w:lastRenderedPageBreak/>
        <w:t>FESİH:</w:t>
      </w:r>
    </w:p>
    <w:p w:rsidR="00E72268" w:rsidRPr="000A1886" w:rsidRDefault="00E72268" w:rsidP="00E72268">
      <w:pPr>
        <w:pStyle w:val="ListeParagraf"/>
        <w:ind w:left="426"/>
        <w:jc w:val="both"/>
        <w:rPr>
          <w:color w:val="000000" w:themeColor="text1"/>
        </w:rPr>
      </w:pPr>
      <w:r w:rsidRPr="000A1886">
        <w:rPr>
          <w:color w:val="000000" w:themeColor="text1"/>
        </w:rPr>
        <w:t xml:space="preserve">Taraflar, Sözleşmenin feshini birbirlerine yazılı olarak bildirmekle yükümlüdür. </w:t>
      </w:r>
    </w:p>
    <w:p w:rsidR="00E72268" w:rsidRPr="000A1886" w:rsidRDefault="00E72268" w:rsidP="00E72268">
      <w:pPr>
        <w:pStyle w:val="ListeParagraf"/>
        <w:ind w:left="426"/>
        <w:jc w:val="both"/>
        <w:rPr>
          <w:color w:val="000000" w:themeColor="text1"/>
        </w:rPr>
      </w:pPr>
    </w:p>
    <w:p w:rsidR="00E72268" w:rsidRPr="000A1886" w:rsidRDefault="00E72268" w:rsidP="00E72268">
      <w:pPr>
        <w:pStyle w:val="ListeParagraf"/>
        <w:numPr>
          <w:ilvl w:val="0"/>
          <w:numId w:val="1"/>
        </w:numPr>
        <w:ind w:left="426"/>
        <w:jc w:val="both"/>
        <w:rPr>
          <w:b/>
          <w:color w:val="000000" w:themeColor="text1"/>
        </w:rPr>
      </w:pPr>
      <w:r w:rsidRPr="000A1886">
        <w:rPr>
          <w:b/>
          <w:color w:val="000000" w:themeColor="text1"/>
        </w:rPr>
        <w:t>TEBLİGAT:</w:t>
      </w:r>
    </w:p>
    <w:p w:rsidR="00E72268" w:rsidRPr="000A1886" w:rsidRDefault="00E72268" w:rsidP="00E72268">
      <w:pPr>
        <w:pStyle w:val="ListeParagraf"/>
        <w:ind w:left="426"/>
        <w:jc w:val="both"/>
        <w:rPr>
          <w:color w:val="000000" w:themeColor="text1"/>
        </w:rPr>
      </w:pPr>
      <w:r w:rsidRPr="000A1886">
        <w:rPr>
          <w:color w:val="000000" w:themeColor="text1"/>
        </w:rPr>
        <w:t xml:space="preserve">Taraflar sözleşme EK2’de beyan ettikleri tebligat adres ve irtibat bilgilerinde değişiklik olması halinde, birbirlerine yazılı olarak bildirmediği sürece bu adres ve irtibat bilgilerine yapılacak olan tebligatlar yasal tebligatın tüm sonuçlarını doğuracak ve bizzat taraflara yapılmış olacaktır. </w:t>
      </w:r>
    </w:p>
    <w:p w:rsidR="00E72268" w:rsidRPr="000A1886" w:rsidRDefault="00E72268" w:rsidP="00E72268">
      <w:pPr>
        <w:pStyle w:val="ListeParagraf"/>
        <w:ind w:left="426"/>
        <w:jc w:val="both"/>
        <w:rPr>
          <w:color w:val="000000" w:themeColor="text1"/>
        </w:rPr>
      </w:pPr>
    </w:p>
    <w:p w:rsidR="00E72268" w:rsidRPr="000A1886" w:rsidRDefault="00E72268" w:rsidP="00E72268">
      <w:pPr>
        <w:pStyle w:val="ListeParagraf"/>
        <w:numPr>
          <w:ilvl w:val="0"/>
          <w:numId w:val="1"/>
        </w:numPr>
        <w:spacing w:after="0"/>
        <w:ind w:left="425" w:hanging="357"/>
        <w:jc w:val="both"/>
        <w:rPr>
          <w:b/>
          <w:color w:val="000000" w:themeColor="text1"/>
        </w:rPr>
      </w:pPr>
      <w:r w:rsidRPr="000A1886">
        <w:rPr>
          <w:b/>
          <w:color w:val="000000" w:themeColor="text1"/>
        </w:rPr>
        <w:t>İMZA SİRKÜLERİ:</w:t>
      </w:r>
    </w:p>
    <w:p w:rsidR="00E72268" w:rsidRPr="000A1886" w:rsidRDefault="00E72268" w:rsidP="00E72268">
      <w:pPr>
        <w:ind w:left="426"/>
        <w:jc w:val="both"/>
        <w:rPr>
          <w:color w:val="000000" w:themeColor="text1"/>
        </w:rPr>
      </w:pPr>
      <w:r w:rsidRPr="000A1886">
        <w:rPr>
          <w:color w:val="000000" w:themeColor="text1"/>
        </w:rPr>
        <w:t xml:space="preserve">İş bu sözleşme imzalanmadan önce son imza sirkülerini sözleşmeye EK olarak sunulacaktır. İmza sirküleri işbu sözleşmenin mütemmim </w:t>
      </w:r>
      <w:proofErr w:type="spellStart"/>
      <w:r w:rsidRPr="000A1886">
        <w:rPr>
          <w:color w:val="000000" w:themeColor="text1"/>
        </w:rPr>
        <w:t>cüz’üdür</w:t>
      </w:r>
      <w:proofErr w:type="spellEnd"/>
      <w:r w:rsidRPr="000A1886">
        <w:rPr>
          <w:color w:val="000000" w:themeColor="text1"/>
        </w:rPr>
        <w:t xml:space="preserve"> ve bu sirküler sunulmadan taraflar iş bu sözleşmede düzenlenen iş ilişkisini kurmayacaklardır. </w:t>
      </w:r>
    </w:p>
    <w:p w:rsidR="00E72268" w:rsidRDefault="00E72268" w:rsidP="00E72268">
      <w:pPr>
        <w:ind w:left="426"/>
        <w:jc w:val="both"/>
        <w:rPr>
          <w:color w:val="000000" w:themeColor="text1"/>
        </w:rPr>
      </w:pPr>
      <w:r w:rsidRPr="000A1886">
        <w:rPr>
          <w:color w:val="000000" w:themeColor="text1"/>
        </w:rPr>
        <w:t xml:space="preserve">11 (On Bir) ana maddeden ibaret olan işbu sözleşme, ayrılmaz parçası olan 3 (Üç) adet eki ve tarafların mutabakatları ile </w:t>
      </w:r>
      <w:proofErr w:type="gramStart"/>
      <w:r w:rsidRPr="000A1886">
        <w:rPr>
          <w:color w:val="000000" w:themeColor="text1"/>
        </w:rPr>
        <w:t>…..</w:t>
      </w:r>
      <w:proofErr w:type="gramEnd"/>
      <w:r w:rsidRPr="000A1886">
        <w:rPr>
          <w:color w:val="000000" w:themeColor="text1"/>
        </w:rPr>
        <w:t xml:space="preserve">/…../……. Tarihinde 2 (İki) nüsha olarak düzenlenmiş ve imza altına alınmış olup, imza tarihinde yürürlüğe girecektir.  </w:t>
      </w:r>
    </w:p>
    <w:p w:rsidR="00AE074B" w:rsidRPr="000A1886" w:rsidRDefault="00AE074B" w:rsidP="00E72268">
      <w:pPr>
        <w:ind w:left="426"/>
        <w:jc w:val="both"/>
        <w:rPr>
          <w:color w:val="000000" w:themeColor="text1"/>
        </w:rPr>
      </w:pPr>
      <w:bookmarkStart w:id="0" w:name="_GoBack"/>
      <w:bookmarkEnd w:id="0"/>
    </w:p>
    <w:p w:rsidR="00E72268" w:rsidRPr="000A1886" w:rsidRDefault="00E72268" w:rsidP="00AE074B">
      <w:pPr>
        <w:jc w:val="both"/>
        <w:rPr>
          <w:color w:val="000000" w:themeColor="text1"/>
        </w:rPr>
      </w:pPr>
      <w:r w:rsidRPr="000A1886">
        <w:rPr>
          <w:b/>
          <w:color w:val="000000" w:themeColor="text1"/>
        </w:rPr>
        <w:t>EK1</w:t>
      </w:r>
      <w:r w:rsidRPr="000A1886">
        <w:rPr>
          <w:color w:val="000000" w:themeColor="text1"/>
        </w:rPr>
        <w:tab/>
        <w:t xml:space="preserve">: KATILIMCI İmza </w:t>
      </w:r>
      <w:proofErr w:type="spellStart"/>
      <w:r w:rsidRPr="000A1886">
        <w:rPr>
          <w:color w:val="000000" w:themeColor="text1"/>
        </w:rPr>
        <w:t>Sirküsü</w:t>
      </w:r>
      <w:proofErr w:type="spellEnd"/>
    </w:p>
    <w:p w:rsidR="00E72268" w:rsidRPr="000A1886" w:rsidRDefault="00E72268" w:rsidP="00AE074B">
      <w:pPr>
        <w:jc w:val="both"/>
        <w:rPr>
          <w:color w:val="000000" w:themeColor="text1"/>
        </w:rPr>
      </w:pPr>
      <w:r w:rsidRPr="000A1886">
        <w:rPr>
          <w:b/>
          <w:color w:val="000000" w:themeColor="text1"/>
        </w:rPr>
        <w:t>EK2</w:t>
      </w:r>
      <w:r w:rsidRPr="000A1886">
        <w:rPr>
          <w:color w:val="000000" w:themeColor="text1"/>
        </w:rPr>
        <w:tab/>
        <w:t xml:space="preserve">: Adres ve İrtibat Bilgileri Formu </w:t>
      </w:r>
    </w:p>
    <w:p w:rsidR="00E72268" w:rsidRPr="000A1886" w:rsidRDefault="00E72268" w:rsidP="00AE074B">
      <w:pPr>
        <w:jc w:val="both"/>
        <w:rPr>
          <w:color w:val="000000" w:themeColor="text1"/>
        </w:rPr>
      </w:pPr>
      <w:r w:rsidRPr="000A1886">
        <w:rPr>
          <w:b/>
          <w:color w:val="000000" w:themeColor="text1"/>
        </w:rPr>
        <w:t>EK3</w:t>
      </w:r>
      <w:r w:rsidRPr="000A1886">
        <w:rPr>
          <w:color w:val="000000" w:themeColor="text1"/>
        </w:rPr>
        <w:tab/>
        <w:t>: KVKK Aydınlatma Metni ve Açık Rıza Beyanı</w:t>
      </w:r>
    </w:p>
    <w:p w:rsidR="00914542" w:rsidRDefault="00914542" w:rsidP="00914542">
      <w:pPr>
        <w:ind w:left="5664"/>
        <w:jc w:val="both"/>
        <w:rPr>
          <w:b/>
          <w:sz w:val="24"/>
        </w:rPr>
      </w:pPr>
    </w:p>
    <w:sectPr w:rsidR="0091454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7BA" w:rsidRDefault="005957BA" w:rsidP="00914542">
      <w:r>
        <w:separator/>
      </w:r>
    </w:p>
  </w:endnote>
  <w:endnote w:type="continuationSeparator" w:id="0">
    <w:p w:rsidR="005957BA" w:rsidRDefault="005957BA" w:rsidP="00914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268" w:rsidRDefault="00E72268">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268" w:rsidRDefault="00E72268">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268" w:rsidRDefault="00E7226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7BA" w:rsidRDefault="005957BA" w:rsidP="00914542">
      <w:r>
        <w:separator/>
      </w:r>
    </w:p>
  </w:footnote>
  <w:footnote w:type="continuationSeparator" w:id="0">
    <w:p w:rsidR="005957BA" w:rsidRDefault="005957BA" w:rsidP="009145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268" w:rsidRDefault="00E72268">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2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4395"/>
      <w:gridCol w:w="1701"/>
      <w:gridCol w:w="1281"/>
    </w:tblGrid>
    <w:tr w:rsidR="00914542" w:rsidRPr="002E15D3" w:rsidTr="00440852">
      <w:trPr>
        <w:trHeight w:val="375"/>
      </w:trPr>
      <w:tc>
        <w:tcPr>
          <w:tcW w:w="2943" w:type="dxa"/>
          <w:vMerge w:val="restart"/>
          <w:tcBorders>
            <w:top w:val="single" w:sz="4" w:space="0" w:color="auto"/>
            <w:left w:val="single" w:sz="4" w:space="0" w:color="auto"/>
            <w:right w:val="single" w:sz="4" w:space="0" w:color="auto"/>
          </w:tcBorders>
          <w:vAlign w:val="center"/>
          <w:hideMark/>
        </w:tcPr>
        <w:p w:rsidR="00914542" w:rsidRPr="00430EDE" w:rsidRDefault="00914542" w:rsidP="00914542">
          <w:r w:rsidRPr="00430EDE">
            <w:rPr>
              <w:noProof/>
            </w:rPr>
            <w:drawing>
              <wp:inline distT="0" distB="0" distL="0" distR="0" wp14:anchorId="5A4C323F" wp14:editId="38307F5E">
                <wp:extent cx="941070" cy="941070"/>
                <wp:effectExtent l="0" t="0" r="0" b="0"/>
                <wp:docPr id="1" name="Resim 1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070" cy="941070"/>
                        </a:xfrm>
                        <a:prstGeom prst="rect">
                          <a:avLst/>
                        </a:prstGeom>
                        <a:noFill/>
                        <a:ln>
                          <a:noFill/>
                        </a:ln>
                      </pic:spPr>
                    </pic:pic>
                  </a:graphicData>
                </a:graphic>
              </wp:inline>
            </w:drawing>
          </w:r>
        </w:p>
      </w:tc>
      <w:tc>
        <w:tcPr>
          <w:tcW w:w="4395" w:type="dxa"/>
          <w:vMerge w:val="restart"/>
          <w:tcBorders>
            <w:top w:val="single" w:sz="4" w:space="0" w:color="auto"/>
            <w:left w:val="single" w:sz="4" w:space="0" w:color="auto"/>
            <w:right w:val="single" w:sz="4" w:space="0" w:color="auto"/>
          </w:tcBorders>
          <w:vAlign w:val="center"/>
          <w:hideMark/>
        </w:tcPr>
        <w:p w:rsidR="00E72268" w:rsidRPr="000A1886" w:rsidRDefault="00E72268" w:rsidP="00E72268">
          <w:pPr>
            <w:jc w:val="center"/>
            <w:rPr>
              <w:b/>
              <w:color w:val="000000" w:themeColor="text1"/>
              <w:sz w:val="24"/>
            </w:rPr>
          </w:pPr>
          <w:r w:rsidRPr="000A1886">
            <w:rPr>
              <w:b/>
              <w:color w:val="000000" w:themeColor="text1"/>
              <w:sz w:val="24"/>
            </w:rPr>
            <w:t>KAYSERİ OSB PORTAL SÖZLEŞMESİ</w:t>
          </w:r>
        </w:p>
        <w:p w:rsidR="00914542" w:rsidRPr="00C141DB" w:rsidRDefault="00914542" w:rsidP="00914542">
          <w:pPr>
            <w:jc w:val="cente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14542" w:rsidRPr="002E15D3" w:rsidRDefault="00914542" w:rsidP="00914542">
          <w:pPr>
            <w:tabs>
              <w:tab w:val="left" w:pos="708"/>
            </w:tabs>
            <w:jc w:val="right"/>
            <w:rPr>
              <w:rFonts w:ascii="Arial" w:hAnsi="Arial" w:cs="Arial"/>
              <w:b/>
              <w:bCs/>
              <w:sz w:val="12"/>
              <w:szCs w:val="12"/>
            </w:rPr>
          </w:pPr>
          <w:r w:rsidRPr="002E15D3">
            <w:rPr>
              <w:rFonts w:ascii="Arial" w:hAnsi="Arial" w:cs="Arial"/>
              <w:b/>
              <w:bCs/>
              <w:sz w:val="12"/>
              <w:szCs w:val="12"/>
            </w:rPr>
            <w:t>DOKÜMAN NO</w:t>
          </w:r>
        </w:p>
      </w:tc>
      <w:tc>
        <w:tcPr>
          <w:tcW w:w="1281" w:type="dxa"/>
          <w:tcBorders>
            <w:top w:val="single" w:sz="4" w:space="0" w:color="auto"/>
            <w:left w:val="single" w:sz="4" w:space="0" w:color="auto"/>
            <w:bottom w:val="single" w:sz="4" w:space="0" w:color="auto"/>
            <w:right w:val="single" w:sz="4" w:space="0" w:color="auto"/>
          </w:tcBorders>
          <w:vAlign w:val="center"/>
          <w:hideMark/>
        </w:tcPr>
        <w:p w:rsidR="00914542" w:rsidRPr="002E15D3" w:rsidRDefault="00E72268" w:rsidP="00914542">
          <w:pPr>
            <w:rPr>
              <w:rFonts w:ascii="Arial" w:hAnsi="Arial" w:cs="Arial"/>
              <w:sz w:val="12"/>
              <w:szCs w:val="12"/>
            </w:rPr>
          </w:pPr>
          <w:r>
            <w:rPr>
              <w:rFonts w:ascii="Arial" w:hAnsi="Arial" w:cs="Arial"/>
              <w:sz w:val="12"/>
              <w:szCs w:val="12"/>
            </w:rPr>
            <w:t>F-Bİ-02</w:t>
          </w:r>
        </w:p>
      </w:tc>
    </w:tr>
    <w:tr w:rsidR="00914542" w:rsidRPr="002E15D3" w:rsidTr="00440852">
      <w:trPr>
        <w:trHeight w:val="375"/>
      </w:trPr>
      <w:tc>
        <w:tcPr>
          <w:tcW w:w="2943" w:type="dxa"/>
          <w:vMerge/>
          <w:tcBorders>
            <w:left w:val="single" w:sz="4" w:space="0" w:color="auto"/>
            <w:right w:val="single" w:sz="4" w:space="0" w:color="auto"/>
          </w:tcBorders>
          <w:vAlign w:val="center"/>
          <w:hideMark/>
        </w:tcPr>
        <w:p w:rsidR="00914542" w:rsidRDefault="00914542" w:rsidP="00914542">
          <w:pPr>
            <w:rPr>
              <w:rFonts w:ascii="Arial" w:hAnsi="Arial" w:cs="Arial"/>
              <w:b/>
              <w:sz w:val="16"/>
              <w:szCs w:val="16"/>
            </w:rPr>
          </w:pPr>
        </w:p>
      </w:tc>
      <w:tc>
        <w:tcPr>
          <w:tcW w:w="4395" w:type="dxa"/>
          <w:vMerge/>
          <w:tcBorders>
            <w:left w:val="single" w:sz="4" w:space="0" w:color="auto"/>
            <w:right w:val="single" w:sz="4" w:space="0" w:color="auto"/>
          </w:tcBorders>
          <w:vAlign w:val="center"/>
          <w:hideMark/>
        </w:tcPr>
        <w:p w:rsidR="00914542" w:rsidRDefault="00914542" w:rsidP="00914542">
          <w:pPr>
            <w:rPr>
              <w:rFonts w:ascii="Arial" w:hAnsi="Arial" w:cs="Arial"/>
              <w:sz w:val="32"/>
              <w:szCs w:val="3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14542" w:rsidRPr="002E15D3" w:rsidRDefault="00914542" w:rsidP="00914542">
          <w:pPr>
            <w:tabs>
              <w:tab w:val="left" w:pos="708"/>
            </w:tabs>
            <w:jc w:val="right"/>
            <w:rPr>
              <w:rFonts w:ascii="Arial" w:hAnsi="Arial" w:cs="Arial"/>
              <w:b/>
              <w:bCs/>
              <w:sz w:val="12"/>
              <w:szCs w:val="12"/>
            </w:rPr>
          </w:pPr>
          <w:r>
            <w:rPr>
              <w:rFonts w:ascii="Arial" w:hAnsi="Arial" w:cs="Arial"/>
              <w:b/>
              <w:bCs/>
              <w:sz w:val="12"/>
              <w:szCs w:val="12"/>
            </w:rPr>
            <w:t>YAYIN</w:t>
          </w:r>
          <w:r w:rsidRPr="002E15D3">
            <w:rPr>
              <w:rFonts w:ascii="Arial" w:hAnsi="Arial" w:cs="Arial"/>
              <w:b/>
              <w:bCs/>
              <w:sz w:val="12"/>
              <w:szCs w:val="12"/>
            </w:rPr>
            <w:t xml:space="preserve"> TARİHİ</w:t>
          </w:r>
        </w:p>
      </w:tc>
      <w:tc>
        <w:tcPr>
          <w:tcW w:w="1281" w:type="dxa"/>
          <w:tcBorders>
            <w:top w:val="single" w:sz="4" w:space="0" w:color="auto"/>
            <w:left w:val="single" w:sz="4" w:space="0" w:color="auto"/>
            <w:bottom w:val="single" w:sz="4" w:space="0" w:color="auto"/>
            <w:right w:val="single" w:sz="4" w:space="0" w:color="auto"/>
          </w:tcBorders>
          <w:vAlign w:val="center"/>
          <w:hideMark/>
        </w:tcPr>
        <w:p w:rsidR="00914542" w:rsidRPr="002E15D3" w:rsidRDefault="00E72268" w:rsidP="00914542">
          <w:pPr>
            <w:rPr>
              <w:rFonts w:ascii="Arial" w:hAnsi="Arial" w:cs="Arial"/>
              <w:sz w:val="12"/>
              <w:szCs w:val="12"/>
            </w:rPr>
          </w:pPr>
          <w:r>
            <w:rPr>
              <w:rFonts w:ascii="Arial" w:hAnsi="Arial" w:cs="Arial"/>
              <w:sz w:val="12"/>
              <w:szCs w:val="12"/>
            </w:rPr>
            <w:t>09.07.2027</w:t>
          </w:r>
        </w:p>
      </w:tc>
    </w:tr>
    <w:tr w:rsidR="00914542" w:rsidRPr="002E15D3" w:rsidTr="00440852">
      <w:trPr>
        <w:trHeight w:val="375"/>
      </w:trPr>
      <w:tc>
        <w:tcPr>
          <w:tcW w:w="2943" w:type="dxa"/>
          <w:vMerge/>
          <w:tcBorders>
            <w:left w:val="single" w:sz="4" w:space="0" w:color="auto"/>
            <w:right w:val="single" w:sz="4" w:space="0" w:color="auto"/>
          </w:tcBorders>
          <w:vAlign w:val="center"/>
          <w:hideMark/>
        </w:tcPr>
        <w:p w:rsidR="00914542" w:rsidRDefault="00914542" w:rsidP="00914542">
          <w:pPr>
            <w:rPr>
              <w:rFonts w:ascii="Arial" w:hAnsi="Arial" w:cs="Arial"/>
              <w:b/>
              <w:sz w:val="16"/>
              <w:szCs w:val="16"/>
            </w:rPr>
          </w:pPr>
        </w:p>
      </w:tc>
      <w:tc>
        <w:tcPr>
          <w:tcW w:w="4395" w:type="dxa"/>
          <w:vMerge/>
          <w:tcBorders>
            <w:left w:val="single" w:sz="4" w:space="0" w:color="auto"/>
            <w:right w:val="single" w:sz="4" w:space="0" w:color="auto"/>
          </w:tcBorders>
          <w:vAlign w:val="center"/>
          <w:hideMark/>
        </w:tcPr>
        <w:p w:rsidR="00914542" w:rsidRDefault="00914542" w:rsidP="00914542">
          <w:pPr>
            <w:rPr>
              <w:rFonts w:ascii="Arial" w:hAnsi="Arial" w:cs="Arial"/>
              <w:sz w:val="32"/>
              <w:szCs w:val="3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14542" w:rsidRPr="002E15D3" w:rsidRDefault="00914542" w:rsidP="00914542">
          <w:pPr>
            <w:tabs>
              <w:tab w:val="left" w:pos="708"/>
            </w:tabs>
            <w:jc w:val="right"/>
            <w:rPr>
              <w:rFonts w:ascii="Arial" w:hAnsi="Arial" w:cs="Arial"/>
              <w:b/>
              <w:bCs/>
              <w:sz w:val="12"/>
              <w:szCs w:val="12"/>
            </w:rPr>
          </w:pPr>
          <w:r w:rsidRPr="002E15D3">
            <w:rPr>
              <w:rFonts w:ascii="Arial" w:hAnsi="Arial" w:cs="Arial"/>
              <w:b/>
              <w:bCs/>
              <w:sz w:val="12"/>
              <w:szCs w:val="12"/>
            </w:rPr>
            <w:t>REVİZYON NO</w:t>
          </w:r>
        </w:p>
      </w:tc>
      <w:tc>
        <w:tcPr>
          <w:tcW w:w="1281" w:type="dxa"/>
          <w:tcBorders>
            <w:top w:val="single" w:sz="4" w:space="0" w:color="auto"/>
            <w:left w:val="single" w:sz="4" w:space="0" w:color="auto"/>
            <w:bottom w:val="single" w:sz="4" w:space="0" w:color="auto"/>
            <w:right w:val="single" w:sz="4" w:space="0" w:color="auto"/>
          </w:tcBorders>
          <w:vAlign w:val="center"/>
          <w:hideMark/>
        </w:tcPr>
        <w:p w:rsidR="00914542" w:rsidRPr="002E15D3" w:rsidRDefault="00B33625" w:rsidP="00914542">
          <w:pPr>
            <w:rPr>
              <w:rFonts w:ascii="Arial" w:hAnsi="Arial" w:cs="Arial"/>
              <w:sz w:val="12"/>
              <w:szCs w:val="12"/>
            </w:rPr>
          </w:pPr>
          <w:r>
            <w:rPr>
              <w:rFonts w:ascii="Arial" w:hAnsi="Arial" w:cs="Arial"/>
              <w:sz w:val="12"/>
              <w:szCs w:val="12"/>
            </w:rPr>
            <w:t>00</w:t>
          </w:r>
        </w:p>
      </w:tc>
    </w:tr>
    <w:tr w:rsidR="00914542" w:rsidRPr="002E15D3" w:rsidTr="00440852">
      <w:trPr>
        <w:trHeight w:val="375"/>
      </w:trPr>
      <w:tc>
        <w:tcPr>
          <w:tcW w:w="2943" w:type="dxa"/>
          <w:vMerge/>
          <w:tcBorders>
            <w:left w:val="single" w:sz="4" w:space="0" w:color="auto"/>
            <w:right w:val="single" w:sz="4" w:space="0" w:color="auto"/>
          </w:tcBorders>
          <w:vAlign w:val="center"/>
          <w:hideMark/>
        </w:tcPr>
        <w:p w:rsidR="00914542" w:rsidRDefault="00914542" w:rsidP="00914542">
          <w:pPr>
            <w:rPr>
              <w:rFonts w:ascii="Arial" w:hAnsi="Arial" w:cs="Arial"/>
              <w:b/>
              <w:sz w:val="16"/>
              <w:szCs w:val="16"/>
            </w:rPr>
          </w:pPr>
        </w:p>
      </w:tc>
      <w:tc>
        <w:tcPr>
          <w:tcW w:w="4395" w:type="dxa"/>
          <w:vMerge/>
          <w:tcBorders>
            <w:left w:val="single" w:sz="4" w:space="0" w:color="auto"/>
            <w:right w:val="single" w:sz="4" w:space="0" w:color="auto"/>
          </w:tcBorders>
          <w:vAlign w:val="center"/>
          <w:hideMark/>
        </w:tcPr>
        <w:p w:rsidR="00914542" w:rsidRDefault="00914542" w:rsidP="00914542">
          <w:pPr>
            <w:rPr>
              <w:rFonts w:ascii="Arial" w:hAnsi="Arial" w:cs="Arial"/>
              <w:sz w:val="32"/>
              <w:szCs w:val="32"/>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14542" w:rsidRPr="002E15D3" w:rsidRDefault="00914542" w:rsidP="00914542">
          <w:pPr>
            <w:tabs>
              <w:tab w:val="left" w:pos="708"/>
            </w:tabs>
            <w:jc w:val="right"/>
            <w:rPr>
              <w:rFonts w:ascii="Arial" w:hAnsi="Arial" w:cs="Arial"/>
              <w:b/>
              <w:bCs/>
              <w:sz w:val="12"/>
              <w:szCs w:val="12"/>
            </w:rPr>
          </w:pPr>
          <w:r w:rsidRPr="002E15D3">
            <w:rPr>
              <w:rFonts w:ascii="Arial" w:hAnsi="Arial" w:cs="Arial"/>
              <w:b/>
              <w:bCs/>
              <w:sz w:val="12"/>
              <w:szCs w:val="12"/>
            </w:rPr>
            <w:t>REVİZYON TAR.</w:t>
          </w:r>
        </w:p>
      </w:tc>
      <w:tc>
        <w:tcPr>
          <w:tcW w:w="1281" w:type="dxa"/>
          <w:tcBorders>
            <w:top w:val="single" w:sz="4" w:space="0" w:color="auto"/>
            <w:left w:val="single" w:sz="4" w:space="0" w:color="auto"/>
            <w:bottom w:val="single" w:sz="4" w:space="0" w:color="auto"/>
            <w:right w:val="single" w:sz="4" w:space="0" w:color="auto"/>
          </w:tcBorders>
          <w:vAlign w:val="center"/>
          <w:hideMark/>
        </w:tcPr>
        <w:p w:rsidR="00914542" w:rsidRPr="002E15D3" w:rsidRDefault="00914542" w:rsidP="00914542">
          <w:pPr>
            <w:rPr>
              <w:rFonts w:ascii="Arial" w:hAnsi="Arial" w:cs="Arial"/>
              <w:sz w:val="12"/>
              <w:szCs w:val="12"/>
            </w:rPr>
          </w:pPr>
          <w:r w:rsidRPr="002E15D3">
            <w:rPr>
              <w:rFonts w:ascii="Arial" w:hAnsi="Arial" w:cs="Arial"/>
              <w:sz w:val="12"/>
              <w:szCs w:val="12"/>
            </w:rPr>
            <w:t>-</w:t>
          </w:r>
        </w:p>
      </w:tc>
    </w:tr>
    <w:tr w:rsidR="00914542" w:rsidRPr="002E15D3" w:rsidTr="00440852">
      <w:trPr>
        <w:trHeight w:val="375"/>
      </w:trPr>
      <w:tc>
        <w:tcPr>
          <w:tcW w:w="2943" w:type="dxa"/>
          <w:vMerge/>
          <w:tcBorders>
            <w:left w:val="single" w:sz="4" w:space="0" w:color="auto"/>
            <w:bottom w:val="single" w:sz="4" w:space="0" w:color="auto"/>
            <w:right w:val="single" w:sz="4" w:space="0" w:color="auto"/>
          </w:tcBorders>
          <w:vAlign w:val="center"/>
        </w:tcPr>
        <w:p w:rsidR="00914542" w:rsidRDefault="00914542" w:rsidP="00914542">
          <w:pPr>
            <w:rPr>
              <w:rFonts w:ascii="Arial" w:hAnsi="Arial" w:cs="Arial"/>
              <w:b/>
              <w:sz w:val="16"/>
              <w:szCs w:val="16"/>
            </w:rPr>
          </w:pPr>
        </w:p>
      </w:tc>
      <w:tc>
        <w:tcPr>
          <w:tcW w:w="4395" w:type="dxa"/>
          <w:vMerge/>
          <w:tcBorders>
            <w:left w:val="single" w:sz="4" w:space="0" w:color="auto"/>
            <w:bottom w:val="single" w:sz="4" w:space="0" w:color="auto"/>
            <w:right w:val="single" w:sz="4" w:space="0" w:color="auto"/>
          </w:tcBorders>
          <w:vAlign w:val="center"/>
        </w:tcPr>
        <w:p w:rsidR="00914542" w:rsidRDefault="00914542" w:rsidP="00914542">
          <w:pPr>
            <w:rPr>
              <w:rFonts w:ascii="Arial" w:hAnsi="Arial" w:cs="Arial"/>
              <w:sz w:val="32"/>
              <w:szCs w:val="32"/>
            </w:rPr>
          </w:pPr>
        </w:p>
      </w:tc>
      <w:tc>
        <w:tcPr>
          <w:tcW w:w="1701" w:type="dxa"/>
          <w:tcBorders>
            <w:top w:val="single" w:sz="4" w:space="0" w:color="auto"/>
            <w:left w:val="single" w:sz="4" w:space="0" w:color="auto"/>
            <w:bottom w:val="single" w:sz="4" w:space="0" w:color="auto"/>
            <w:right w:val="single" w:sz="4" w:space="0" w:color="auto"/>
          </w:tcBorders>
          <w:vAlign w:val="center"/>
        </w:tcPr>
        <w:p w:rsidR="00914542" w:rsidRPr="002E15D3" w:rsidRDefault="00914542" w:rsidP="00914542">
          <w:pPr>
            <w:tabs>
              <w:tab w:val="left" w:pos="708"/>
            </w:tabs>
            <w:jc w:val="right"/>
            <w:rPr>
              <w:rFonts w:ascii="Arial" w:hAnsi="Arial" w:cs="Arial"/>
              <w:b/>
              <w:bCs/>
              <w:sz w:val="12"/>
              <w:szCs w:val="12"/>
            </w:rPr>
          </w:pPr>
          <w:r w:rsidRPr="004D1200">
            <w:rPr>
              <w:rFonts w:ascii="Arial" w:hAnsi="Arial" w:cs="Arial"/>
              <w:b/>
              <w:bCs/>
              <w:sz w:val="12"/>
              <w:szCs w:val="12"/>
            </w:rPr>
            <w:t>SAYFA NO</w:t>
          </w:r>
        </w:p>
      </w:tc>
      <w:tc>
        <w:tcPr>
          <w:tcW w:w="1281" w:type="dxa"/>
          <w:tcBorders>
            <w:top w:val="single" w:sz="4" w:space="0" w:color="auto"/>
            <w:left w:val="single" w:sz="4" w:space="0" w:color="auto"/>
            <w:bottom w:val="single" w:sz="4" w:space="0" w:color="auto"/>
            <w:right w:val="single" w:sz="4" w:space="0" w:color="auto"/>
          </w:tcBorders>
          <w:vAlign w:val="center"/>
        </w:tcPr>
        <w:p w:rsidR="00914542" w:rsidRPr="002E15D3" w:rsidRDefault="00B33625" w:rsidP="0032733E">
          <w:pPr>
            <w:rPr>
              <w:rFonts w:ascii="Arial" w:hAnsi="Arial" w:cs="Arial"/>
              <w:sz w:val="12"/>
              <w:szCs w:val="12"/>
            </w:rPr>
          </w:pPr>
          <w:r>
            <w:rPr>
              <w:rFonts w:ascii="Arial" w:hAnsi="Arial" w:cs="Arial"/>
              <w:sz w:val="12"/>
              <w:szCs w:val="12"/>
            </w:rPr>
            <w:t>1</w:t>
          </w:r>
        </w:p>
      </w:tc>
    </w:tr>
  </w:tbl>
  <w:p w:rsidR="00914542" w:rsidRDefault="00914542">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268" w:rsidRDefault="00E72268">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D36684"/>
    <w:multiLevelType w:val="multilevel"/>
    <w:tmpl w:val="0052C95E"/>
    <w:lvl w:ilvl="0">
      <w:start w:val="1"/>
      <w:numFmt w:val="decimal"/>
      <w:lvlText w:val="%1."/>
      <w:lvlJc w:val="left"/>
      <w:pPr>
        <w:ind w:left="720" w:hanging="360"/>
      </w:pPr>
      <w:rPr>
        <w:rFonts w:hint="default"/>
      </w:rPr>
    </w:lvl>
    <w:lvl w:ilvl="1">
      <w:start w:val="1"/>
      <w:numFmt w:val="decimal"/>
      <w:isLgl/>
      <w:lvlText w:val="%1.%2."/>
      <w:lvlJc w:val="left"/>
      <w:pPr>
        <w:ind w:left="1044" w:hanging="504"/>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542"/>
    <w:rsid w:val="00055829"/>
    <w:rsid w:val="00105820"/>
    <w:rsid w:val="00290B45"/>
    <w:rsid w:val="002F48FE"/>
    <w:rsid w:val="0032733E"/>
    <w:rsid w:val="005957BA"/>
    <w:rsid w:val="00914542"/>
    <w:rsid w:val="00AE074B"/>
    <w:rsid w:val="00B33625"/>
    <w:rsid w:val="00E71A25"/>
    <w:rsid w:val="00E72268"/>
    <w:rsid w:val="00FF63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401E5"/>
  <w15:chartTrackingRefBased/>
  <w15:docId w15:val="{98B41B64-2F22-4659-A395-4FF0E1A58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542"/>
    <w:pPr>
      <w:spacing w:after="0" w:line="240" w:lineRule="auto"/>
    </w:pPr>
    <w:rPr>
      <w:rFonts w:ascii="Times New Roman" w:eastAsia="Times New Roman" w:hAnsi="Times New Roman" w:cs="Times New Roman"/>
      <w:sz w:val="20"/>
      <w:szCs w:val="20"/>
      <w:lang w:eastAsia="tr-TR"/>
    </w:rPr>
  </w:style>
  <w:style w:type="paragraph" w:styleId="Balk7">
    <w:name w:val="heading 7"/>
    <w:basedOn w:val="Normal"/>
    <w:next w:val="Normal"/>
    <w:link w:val="Balk7Char"/>
    <w:semiHidden/>
    <w:unhideWhenUsed/>
    <w:qFormat/>
    <w:rsid w:val="00914542"/>
    <w:pPr>
      <w:spacing w:before="240" w:after="60"/>
      <w:outlineLvl w:val="6"/>
    </w:pPr>
    <w:rPr>
      <w:rFonts w:ascii="Calibri" w:hAnsi="Calibr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14542"/>
    <w:pPr>
      <w:tabs>
        <w:tab w:val="center" w:pos="4536"/>
        <w:tab w:val="right" w:pos="9072"/>
      </w:tabs>
    </w:pPr>
  </w:style>
  <w:style w:type="character" w:customStyle="1" w:styleId="stBilgiChar">
    <w:name w:val="Üst Bilgi Char"/>
    <w:basedOn w:val="VarsaylanParagrafYazTipi"/>
    <w:link w:val="stBilgi"/>
    <w:uiPriority w:val="99"/>
    <w:rsid w:val="00914542"/>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914542"/>
    <w:pPr>
      <w:tabs>
        <w:tab w:val="center" w:pos="4536"/>
        <w:tab w:val="right" w:pos="9072"/>
      </w:tabs>
    </w:pPr>
  </w:style>
  <w:style w:type="character" w:customStyle="1" w:styleId="AltBilgiChar">
    <w:name w:val="Alt Bilgi Char"/>
    <w:basedOn w:val="VarsaylanParagrafYazTipi"/>
    <w:link w:val="AltBilgi"/>
    <w:uiPriority w:val="99"/>
    <w:rsid w:val="00914542"/>
    <w:rPr>
      <w:rFonts w:ascii="Times New Roman" w:eastAsia="Times New Roman" w:hAnsi="Times New Roman" w:cs="Times New Roman"/>
      <w:sz w:val="20"/>
      <w:szCs w:val="20"/>
      <w:lang w:eastAsia="tr-TR"/>
    </w:rPr>
  </w:style>
  <w:style w:type="character" w:customStyle="1" w:styleId="Balk7Char">
    <w:name w:val="Başlık 7 Char"/>
    <w:basedOn w:val="VarsaylanParagrafYazTipi"/>
    <w:link w:val="Balk7"/>
    <w:semiHidden/>
    <w:rsid w:val="00914542"/>
    <w:rPr>
      <w:rFonts w:ascii="Calibri" w:eastAsia="Times New Roman" w:hAnsi="Calibri" w:cs="Times New Roman"/>
      <w:sz w:val="24"/>
      <w:szCs w:val="24"/>
      <w:lang w:eastAsia="tr-TR"/>
    </w:rPr>
  </w:style>
  <w:style w:type="character" w:customStyle="1" w:styleId="stbilgiChar0">
    <w:name w:val="Üstbilgi Char"/>
    <w:uiPriority w:val="99"/>
    <w:rsid w:val="00914542"/>
    <w:rPr>
      <w:sz w:val="24"/>
      <w:szCs w:val="24"/>
    </w:rPr>
  </w:style>
  <w:style w:type="table" w:styleId="TabloKlavuzu">
    <w:name w:val="Table Grid"/>
    <w:basedOn w:val="NormalTablo"/>
    <w:uiPriority w:val="39"/>
    <w:rsid w:val="00290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72268"/>
    <w:pPr>
      <w:spacing w:after="160" w:line="259" w:lineRule="auto"/>
      <w:ind w:left="720"/>
      <w:contextualSpacing/>
    </w:pPr>
    <w:rPr>
      <w:rFonts w:asciiTheme="minorHAnsi" w:eastAsiaTheme="minorHAnsi" w:hAnsiTheme="minorHAnsi" w:cstheme="minorBidi"/>
      <w:sz w:val="22"/>
      <w:szCs w:val="22"/>
      <w:lang w:eastAsia="en-US"/>
    </w:rPr>
  </w:style>
  <w:style w:type="character" w:styleId="Kpr">
    <w:name w:val="Hyperlink"/>
    <w:basedOn w:val="VarsaylanParagrafYazTipi"/>
    <w:uiPriority w:val="99"/>
    <w:unhideWhenUsed/>
    <w:rsid w:val="00E722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ortal.kayseriosb.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788</Words>
  <Characters>4494</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Akif BÜYÜKBOĞAZLIYANLI</dc:creator>
  <cp:keywords/>
  <dc:description/>
  <cp:lastModifiedBy>Alper ÖNER</cp:lastModifiedBy>
  <cp:revision>3</cp:revision>
  <dcterms:created xsi:type="dcterms:W3CDTF">2025-07-09T05:41:00Z</dcterms:created>
  <dcterms:modified xsi:type="dcterms:W3CDTF">2025-07-09T05:54:00Z</dcterms:modified>
</cp:coreProperties>
</file>